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INSTITUCIONAL DO MINISTÉRIO PÚBLICO DO MARANHÃO CONTRA A CORRUPÇÃO E SONEGAÇÃO FISCAL.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CAMPANHA CIDADÃO CONSCIENTE – GESTÃO TRANSPARENTE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Plano de Ação da Campanha, para a Mobilização social com vistas ao combate ao acúmulo ilegal de cargos públicos e de “funcionários fantasmas”, em todo o  Estado do Maranhão.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Luís/MA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ELABORAÇÃO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Nahyma Ribeiro Abas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Promotora de Justiça Titular da 1ª Promotoria de Justiça Especializada na Defesa do Patrimônio Público e da Probidade Administrativa na Comarca de Imperatriz-MA, Coordenadora do Centro de Apoio Operacional da Probidade Administrativa – CAOp/ProAd e Coordenadora do Núcleo Regional de Atuação Especializada da Probidade Administrativa e Combate À corrupção (NAEPAC) – Região Tocantina e Sul do Maranhão.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spacing w:after="0" w:before="0" w:lineRule="auto"/>
        <w:ind w:right="-56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Glauce Mara Lima Malheiros</w:t>
      </w:r>
    </w:p>
    <w:p w:rsidR="00000000" w:rsidDel="00000000" w:rsidP="00000000" w:rsidRDefault="00000000" w:rsidRPr="00000000" w14:paraId="00000029">
      <w:pPr>
        <w:pStyle w:val="Heading1"/>
        <w:spacing w:after="0" w:before="0" w:lineRule="auto"/>
        <w:ind w:right="-56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spacing w:after="0" w:before="0" w:lineRule="auto"/>
        <w:ind w:right="-568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Promotora de Justiça Titular da 2ª Promotoria de Justiça Especializada de Açailândia/MA; membro do Centro de Apoio Operacional da Probidade Administrativa – CAOp/ProAd; Secretária do Núcleo Regional de Atuação Especializada da Probidade Administrativa e Combate À corrupção (NAEPAC) – Região Tocantina e Sul do Maranhão; integrante do GAECO/IMPERATRIZ; e Especialista em Gestão Pública pela Universidade Estadual do Maranhão. </w:t>
      </w:r>
    </w:p>
    <w:p w:rsidR="00000000" w:rsidDel="00000000" w:rsidP="00000000" w:rsidRDefault="00000000" w:rsidRPr="00000000" w14:paraId="0000002B">
      <w:pPr>
        <w:pStyle w:val="Heading1"/>
        <w:spacing w:after="0" w:before="0" w:lineRule="auto"/>
        <w:ind w:right="-568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spacing w:after="0" w:before="0" w:lineRule="auto"/>
        <w:ind w:right="-56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Ezequias Mesquita Lopes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Mestre em Desenvolvimento Regional (UNIALFA), Especialista em Direito Público (UNAR) e em Gestão de Políticas Públicas (UFMA), Bacharel em Direito (UFMA). Servidor do quadro de apoio Técnico Administrativo do Ministério Público Estadual na Comarca de Imperatriz/MA.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DESCRIÇÃO DA CAMPANHA.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Campanha Cidadão Consciente – Gestão Transparente.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ÓRGÃOS RESPONSÁVEIS PELA EXECUÇÃO: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Promotorias de Justiça do Estado do Maranhão.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ESTRATÉGICO: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Mobilização social e dos gestores públicos com vistas ao combate ao acúmulo ilegal de cargos públicos e “funcionários fantasmas”, em todo o Estado do Maranhão.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PROMOTORIAS E ÓRGÃOS PÚBLICOS ESTADUAIS E MUNICIPAIS ENVOLVIDOS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Planeja-se a adesão das Promotorias/Órgãos Públicos Estaduais e Municipais.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7" w:before="0" w:line="36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OBJETIVOS.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Geral.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7" w:before="0" w:line="360" w:lineRule="auto"/>
        <w:ind w:left="0" w:right="-568" w:firstLine="113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Promover ações para mobilização das gestões públicas estaduais e municipais, bem como da sociedade civil, visando à realização de ações preventivas e repressivas no combate ao acúmulo ilegal de cargos e de “funcionários fantasmas”, em todo o Estado.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7" w:before="0" w:line="36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Específicos.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-568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Identificar, no Sistema SAAP-Módulo Folha, do Tribunal de Contas do Estado, a relação de servidores públicos que aparecem com mais de um vínculo financeiro, nos órgãos públicos estaduais e municipais, apurando e solucionando as possíveis situações ilegais;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-568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Recomendar aos gestores públicos estaduais e municipais a adoção de medidas administrativas de fortalecimento do controle interno sobre os atos de gestão de pessoal, no sentido de combater situações de acúmulo ilegal de cargos públicos e de funcionários fantasmas, especialmente através do controle da assiduidade dos servidores públicos, mediante registro eletrônico de frequência;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-568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entender necessário, realizar audiências públicas com vistas à sensibilização e informação aos munícipes, gestores e servidores públicos, acerca das hipóteses constitucionais de acúmulo de cargos, bem como de práticas de transparência e fiscalização social no combate às situações ilegais acúmulos de cargos e de funcionários fantasmas;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-568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Auxiliar as promotorias de justiça que aderirem à campanha, com elaboração de notas técnicas roteiros de atuação e minutas, no processo de resolução extrajudicial e de responsabilização dos gestores e servidores públicos, nos casos de acúmulos ilegais de cargos e de “funcionários fantasmas”.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7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JUSTIFICATIVA.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right="-568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acumulação ilegal de cargos públicos é uma triste realidade brasileira, principalmente no interior dos Estados, onde os mecanismos de controle interno e de transparência são insuficientes a uma boa fiscalização por parte do poder público e da sociedade civil. Essa prática gera grande prejuízo à população, deixando o serviço público de ser prestado adequada e integralmente, pois não há como alguém exercer três ou mais funções públicas, ao mesmo tempo, até mesmo em cidades diversas.</w:t>
      </w:r>
    </w:p>
    <w:p w:rsidR="00000000" w:rsidDel="00000000" w:rsidP="00000000" w:rsidRDefault="00000000" w:rsidRPr="00000000" w14:paraId="0000004F">
      <w:pPr>
        <w:spacing w:line="360" w:lineRule="auto"/>
        <w:ind w:right="-568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Ministério Público do Maranhão sempre recebeu muitas denúncias de pessoas ocupando ilegalmente dois ou mais cargos, nas administrações públicas estadual e municipal, especialmente em municípios vizinhos, o que demandava instaurações de diversos procedimentos individuais para apurar os casos, sem garantia de que as situações solucionadas não pudessem se repetir, dada a ineficiência dos mecanismos de transparência e controle.  </w:t>
      </w:r>
    </w:p>
    <w:p w:rsidR="00000000" w:rsidDel="00000000" w:rsidP="00000000" w:rsidRDefault="00000000" w:rsidRPr="00000000" w14:paraId="00000050">
      <w:pPr>
        <w:spacing w:line="360" w:lineRule="auto"/>
        <w:ind w:right="-568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Recentemente, o Tribunal de Contas do Estado do Maranhão passou a cruzar, através da ferramenta SAAP – VÍNCULOS, os dados de folha de pagamento do Estado e dos municípios, a fim de identificar, dentre outras informações, servidores públicos com vários vínculos financeiros, expedindo notificações aos gestores para apresentar justificativas e tomar as providências necessárias, além de subsidiar também o Ministério Público Estadual na execução da campanha institucional em referência.</w:t>
      </w:r>
    </w:p>
    <w:p w:rsidR="00000000" w:rsidDel="00000000" w:rsidP="00000000" w:rsidRDefault="00000000" w:rsidRPr="00000000" w14:paraId="00000051">
      <w:pPr>
        <w:spacing w:line="360" w:lineRule="auto"/>
        <w:ind w:right="-568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Ocorre que os trabalhos do Ministério Público, paralelamente à atuação dos órgãos de controle externo, como o TCE/MA, neste momento, são indispensáveis para acelerar o processo de regularização de milhares de situações dos servidores, sejam eles ocupantes de cargos de livre nomeação e exoneração, ou nomeados através de concurso público, que se encontram ilegalmente ocupando cargos públicos, inclusive na busca de responsabilização daqueles que persistem com a conduta ilegal e ímproba.</w:t>
      </w:r>
    </w:p>
    <w:p w:rsidR="00000000" w:rsidDel="00000000" w:rsidP="00000000" w:rsidRDefault="00000000" w:rsidRPr="00000000" w14:paraId="00000052">
      <w:pPr>
        <w:spacing w:line="360" w:lineRule="auto"/>
        <w:ind w:right="-568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Vale lembrar o artigo 37, incisos XVI e XVII, da Constituição Federal, que dispõem sobre o assunto: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09"/>
        </w:tabs>
        <w:spacing w:after="0" w:before="0" w:line="240" w:lineRule="auto"/>
        <w:ind w:left="2268" w:right="-568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XVI - é vedada a acumulação remunerada de cargos públicos, exceto, quando houver compatibilidade de horários observado em qualquer caso o disposto no inciso XI: a) - a de dois cargos de professor; b) - a de um cargo de professor com outro técnico ou científico; c) - a de dois cargos ou empregos privativos de profissionais de saúde, com profissões regulamentadas;</w:t>
      </w:r>
    </w:p>
    <w:p w:rsidR="00000000" w:rsidDel="00000000" w:rsidP="00000000" w:rsidRDefault="00000000" w:rsidRPr="00000000" w14:paraId="00000054">
      <w:pPr>
        <w:spacing w:after="0" w:line="240" w:lineRule="auto"/>
        <w:ind w:left="2268" w:right="-568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XVII - a proibição de acumular estende-se a empregos e funções e abrange autarquias, fundações, empresas públicas, sociedades de economia mista suas subsidiárias, e sociedades controladas, direta ou indiretamente, pelo poder público;</w:t>
      </w:r>
      <w:r w:rsidDel="00000000" w:rsidR="00000000" w:rsidRPr="00000000">
        <w:rPr>
          <w:sz w:val="24"/>
          <w:szCs w:val="24"/>
          <w:rtl w:val="0"/>
        </w:rPr>
        <w:t xml:space="preserve">";</w:t>
      </w:r>
    </w:p>
    <w:p w:rsidR="00000000" w:rsidDel="00000000" w:rsidP="00000000" w:rsidRDefault="00000000" w:rsidRPr="00000000" w14:paraId="00000055">
      <w:pPr>
        <w:spacing w:line="360" w:lineRule="auto"/>
        <w:ind w:right="-568"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ind w:right="-568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Visto que a acumulação ilegal de cargos públicos e situações de funcionários fantasmas geram prejuízos aos cofres públicos, além de violar princípios basilares da Administração Pública, notadamente os princípios da legalidade, moralidade administrativa e eficiência, e considerando a relevância do tema, dentro do plano geral de atuação 2019-2020, é que o Ministério Público do Estado do Maranhão institucionalizou 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Campanha Cidadão Consciente – Gestão Transparente</w:t>
      </w:r>
      <w:r w:rsidDel="00000000" w:rsidR="00000000" w:rsidRPr="00000000">
        <w:rPr>
          <w:sz w:val="24"/>
          <w:szCs w:val="24"/>
          <w:rtl w:val="0"/>
        </w:rPr>
        <w:t xml:space="preserve">, especialmente diante do considerável número de vínculos financeiros de servidores públicos identificados pela Ferramenta SAAP.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7" w:before="0" w:line="36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METODOLOGIA.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Constituem-se fases da campanha, as descritas no quadro a seguir.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5400040" cy="6425132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425132"/>
                          <a:chOff x="0" y="0"/>
                          <a:chExt cx="5400039" cy="642512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400039" cy="6425125"/>
                            <a:chOff x="0" y="0"/>
                            <a:chExt cx="5400039" cy="642512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400025" cy="642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4836536"/>
                              <a:ext cx="5400039" cy="158745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" name="Shape 6"/>
                          <wps:spPr>
                            <a:xfrm>
                              <a:off x="0" y="4836536"/>
                              <a:ext cx="5400039" cy="857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2"/>
                                    <w:vertAlign w:val="baseline"/>
                                  </w:rPr>
                                  <w:t xml:space="preserve">REUNIÕES COM AS GESTÕES MUNICIPAIS</w:t>
                                </w:r>
                              </w:p>
                            </w:txbxContent>
                          </wps:txbx>
                          <wps:bodyPr anchorCtr="0" anchor="ctr" bIns="149350" lIns="149350" spcFirstLastPara="1" rIns="149350" wrap="square" tIns="14935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5662015"/>
                              <a:ext cx="2700019" cy="730231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cap="flat" cmpd="sng" w="25400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8" name="Shape 8"/>
                          <wps:spPr>
                            <a:xfrm>
                              <a:off x="0" y="5662015"/>
                              <a:ext cx="2700019" cy="730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Reunião solicitada pelos Promotores de Justiça envolvidos com os Prefeitos, Secretários Municipais de Administração e Presidentes de Câmaras, com vistas à apresentação da Campanha, apresentação da redomendação, com a relação dos servidores com os vínculos identificados encontrados no SAAP e solicitação de providências sobre esses vínculos.</w:t>
                                </w:r>
                              </w:p>
                            </w:txbxContent>
                          </wps:txbx>
                          <wps:bodyPr anchorCtr="0" anchor="ctr" bIns="10150" lIns="56875" spcFirstLastPara="1" rIns="56875" wrap="square" tIns="1015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700019" y="5662015"/>
                              <a:ext cx="2700019" cy="730231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cap="flat" cmpd="sng" w="25400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" name="Shape 10"/>
                          <wps:spPr>
                            <a:xfrm>
                              <a:off x="2700019" y="5662015"/>
                              <a:ext cx="2700019" cy="730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Envolvidos: Prefeitos, Secretários Municipais de Adminsitração e Presidentes de Câmaras.</w:t>
                                </w:r>
                              </w:p>
                            </w:txbxContent>
                          </wps:txbx>
                          <wps:bodyPr anchorCtr="0" anchor="ctr" bIns="10150" lIns="56875" spcFirstLastPara="1" rIns="56875" wrap="square" tIns="1015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 rot="10800000">
                              <a:off x="0" y="2408899"/>
                              <a:ext cx="5400039" cy="2441512"/>
                            </a:xfrm>
                            <a:prstGeom prst="upArrowCallout">
                              <a:avLst>
                                <a:gd fmla="val 25000" name="adj1"/>
                                <a:gd fmla="val 25000" name="adj2"/>
                                <a:gd fmla="val 25000" name="adj3"/>
                                <a:gd fmla="val 64977" name="adj4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" name="Shape 12"/>
                          <wps:spPr>
                            <a:xfrm>
                              <a:off x="0" y="2408899"/>
                              <a:ext cx="5400039" cy="856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2"/>
                                    <w:vertAlign w:val="baseline"/>
                                  </w:rPr>
                                  <w:t xml:space="preserve">COLETA DE INFORMAÇÕES</w:t>
                                </w:r>
                              </w:p>
                            </w:txbxContent>
                          </wps:txbx>
                          <wps:bodyPr anchorCtr="0" anchor="ctr" bIns="149350" lIns="149350" spcFirstLastPara="1" rIns="149350" wrap="square" tIns="14935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3275807"/>
                              <a:ext cx="2700019" cy="730012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cap="flat" cmpd="sng" w="25400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4" name="Shape 14"/>
                          <wps:spPr>
                            <a:xfrm>
                              <a:off x="0" y="3275807"/>
                              <a:ext cx="2700019" cy="7300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Coleta dos vínculos de servidores junto ao SAAP-VÍNCULOS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55.999999046325684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 no site do TCE/MA</w:t>
                                </w:r>
                              </w:p>
                            </w:txbxContent>
                          </wps:txbx>
                          <wps:bodyPr anchorCtr="0" anchor="ctr" bIns="10150" lIns="56875" spcFirstLastPara="1" rIns="56875" wrap="square" tIns="10150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2700019" y="3275807"/>
                              <a:ext cx="2700019" cy="730012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cap="flat" cmpd="sng" w="25400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6" name="Shape 16"/>
                          <wps:spPr>
                            <a:xfrm>
                              <a:off x="2700019" y="3275807"/>
                              <a:ext cx="2700019" cy="7300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Envolvidos: Promotores de Justiça e servidores do MPMA.</w:t>
                                </w:r>
                              </w:p>
                            </w:txbxContent>
                          </wps:txbx>
                          <wps:bodyPr anchorCtr="0" anchor="ctr" bIns="10150" lIns="56875" spcFirstLastPara="1" rIns="56875" wrap="square" tIns="10150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 rot="10800000">
                              <a:off x="0" y="12"/>
                              <a:ext cx="5400039" cy="2441512"/>
                            </a:xfrm>
                            <a:prstGeom prst="upArrowCallout">
                              <a:avLst>
                                <a:gd fmla="val 25000" name="adj1"/>
                                <a:gd fmla="val 25000" name="adj2"/>
                                <a:gd fmla="val 25000" name="adj3"/>
                                <a:gd fmla="val 64977" name="adj4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8" name="Shape 18"/>
                          <wps:spPr>
                            <a:xfrm>
                              <a:off x="0" y="12"/>
                              <a:ext cx="5400039" cy="856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2"/>
                                    <w:vertAlign w:val="baseline"/>
                                  </w:rPr>
                                  <w:t xml:space="preserve">ADESÃO À CAMPANHA</w:t>
                                </w:r>
                              </w:p>
                            </w:txbxContent>
                          </wps:txbx>
                          <wps:bodyPr anchorCtr="0" anchor="ctr" bIns="149350" lIns="149350" spcFirstLastPara="1" rIns="149350" wrap="square" tIns="149350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858106"/>
                              <a:ext cx="2700019" cy="730012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cap="flat" cmpd="sng" w="25400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0" name="Shape 20"/>
                          <wps:spPr>
                            <a:xfrm>
                              <a:off x="0" y="858106"/>
                              <a:ext cx="2700019" cy="7300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Instauração de Procedimento Administrativo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55.999999046325684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     conforme modelo de portaria em anexo.	</w:t>
                                </w:r>
                              </w:p>
                            </w:txbxContent>
                          </wps:txbx>
                          <wps:bodyPr anchorCtr="0" anchor="ctr" bIns="10150" lIns="56875" spcFirstLastPara="1" rIns="56875" wrap="square" tIns="10150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2700019" y="858106"/>
                              <a:ext cx="2700019" cy="730012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cap="flat" cmpd="sng" w="25400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2" name="Shape 22"/>
                          <wps:spPr>
                            <a:xfrm>
                              <a:off x="2700019" y="858106"/>
                              <a:ext cx="2700019" cy="7300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Envolvido: GAEProAd. </w:t>
                                </w:r>
                              </w:p>
                            </w:txbxContent>
                          </wps:txbx>
                          <wps:bodyPr anchorCtr="0" anchor="ctr" bIns="10150" lIns="56875" spcFirstLastPara="1" rIns="56875" wrap="square" tIns="1015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00040" cy="6425132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64251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5543550" cy="68580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6858000"/>
                          <a:chOff x="0" y="0"/>
                          <a:chExt cx="5543550" cy="6858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543550" cy="6858000"/>
                            <a:chOff x="0" y="0"/>
                            <a:chExt cx="5543550" cy="68580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543550" cy="685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0" y="5162379"/>
                              <a:ext cx="5543550" cy="169440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5" name="Shape 25"/>
                          <wps:spPr>
                            <a:xfrm>
                              <a:off x="0" y="5162379"/>
                              <a:ext cx="5543550" cy="914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2"/>
                                    <w:vertAlign w:val="baseline"/>
                                  </w:rPr>
                                  <w:t xml:space="preserve">MAPEAMENTO DAS INFORMAÇÕES DO MARANHÃO PELO CAOP/PROAD</w:t>
                                </w:r>
                              </w:p>
                            </w:txbxContent>
                          </wps:txbx>
                          <wps:bodyPr anchorCtr="0" anchor="ctr" bIns="149350" lIns="149350" spcFirstLastPara="1" rIns="149350" wrap="square" tIns="149350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0" y="6043471"/>
                              <a:ext cx="2771774" cy="779427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cap="flat" cmpd="sng" w="25400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7" name="Shape 27"/>
                          <wps:spPr>
                            <a:xfrm>
                              <a:off x="0" y="6043471"/>
                              <a:ext cx="2771774" cy="779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Produção de relatórios quadrimestrais pelo CAOP/PRroAd</w:t>
                                </w:r>
                              </w:p>
                            </w:txbxContent>
                          </wps:txbx>
                          <wps:bodyPr anchorCtr="0" anchor="ctr" bIns="12700" lIns="71100" spcFirstLastPara="1" rIns="71100" wrap="square" tIns="12700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2771775" y="6043471"/>
                              <a:ext cx="2771774" cy="779427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cap="flat" cmpd="sng" w="25400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9" name="Shape 29"/>
                          <wps:spPr>
                            <a:xfrm>
                              <a:off x="2771775" y="6043471"/>
                              <a:ext cx="2771774" cy="779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Envolvido: CAOP/ProAd.</w:t>
                                </w:r>
                              </w:p>
                            </w:txbxContent>
                          </wps:txbx>
                          <wps:bodyPr anchorCtr="0" anchor="ctr" bIns="12700" lIns="71100" spcFirstLastPara="1" rIns="71100" wrap="square" tIns="12700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 rot="10800000">
                              <a:off x="0" y="2543696"/>
                              <a:ext cx="5543550" cy="2605999"/>
                            </a:xfrm>
                            <a:prstGeom prst="upArrowCallout">
                              <a:avLst>
                                <a:gd fmla="val 25000" name="adj1"/>
                                <a:gd fmla="val 25000" name="adj2"/>
                                <a:gd fmla="val 25000" name="adj3"/>
                                <a:gd fmla="val 64977" name="adj4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1" name="Shape 31"/>
                          <wps:spPr>
                            <a:xfrm>
                              <a:off x="0" y="2543696"/>
                              <a:ext cx="5543550" cy="914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2"/>
                                    <w:vertAlign w:val="baseline"/>
                                  </w:rPr>
                                  <w:t xml:space="preserve">SOLICITA INFORMAÇÕES SOBRE AS PROVIDÊNCIAS AOS GESTORES</w:t>
                                </w:r>
                              </w:p>
                            </w:txbxContent>
                          </wps:txbx>
                          <wps:bodyPr anchorCtr="0" anchor="ctr" bIns="149350" lIns="149350" spcFirstLastPara="1" rIns="149350" wrap="square" tIns="149350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0" y="3496501"/>
                              <a:ext cx="2771774" cy="779193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cap="flat" cmpd="sng" w="25400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3" name="Shape 33"/>
                          <wps:spPr>
                            <a:xfrm>
                              <a:off x="0" y="3496501"/>
                              <a:ext cx="2771774" cy="779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Dentro do Procedimento Administrativo, juntadas as informações trazidas pelos gestores sobre as providências adotadas, ajuizamento de ações e produçãos de relatórios quadrimestrais, sobre os casos resolvidos e encaminhar ao CAOP/ProAd</w:t>
                                </w:r>
                              </w:p>
                            </w:txbxContent>
                          </wps:txbx>
                          <wps:bodyPr anchorCtr="0" anchor="ctr" bIns="12700" lIns="71100" spcFirstLastPara="1" rIns="71100" wrap="square" tIns="12700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2771775" y="3496501"/>
                              <a:ext cx="2771774" cy="779193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cap="flat" cmpd="sng" w="25400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5" name="Shape 35"/>
                          <wps:spPr>
                            <a:xfrm>
                              <a:off x="2771775" y="3496501"/>
                              <a:ext cx="2771774" cy="779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Envolvidos: Promotores de Justiça e CAOP/Pro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Ad.</w:t>
                                </w:r>
                              </w:p>
                            </w:txbxContent>
                          </wps:txbx>
                          <wps:bodyPr anchorCtr="0" anchor="ctr" bIns="12700" lIns="71100" spcFirstLastPara="1" rIns="71100" wrap="square" tIns="12700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 rot="10800000">
                              <a:off x="0" y="1212"/>
                              <a:ext cx="5543550" cy="2605999"/>
                            </a:xfrm>
                            <a:prstGeom prst="upArrowCallout">
                              <a:avLst>
                                <a:gd fmla="val 25000" name="adj1"/>
                                <a:gd fmla="val 25000" name="adj2"/>
                                <a:gd fmla="val 25000" name="adj3"/>
                                <a:gd fmla="val 64977" name="adj4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7" name="Shape 37"/>
                          <wps:spPr>
                            <a:xfrm>
                              <a:off x="0" y="1212"/>
                              <a:ext cx="5543550" cy="914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2"/>
                                    <w:vertAlign w:val="baseline"/>
                                  </w:rPr>
                                  <w:t xml:space="preserve">AUDIÊNCIAS PÚBLICAS</w:t>
                                </w:r>
                              </w:p>
                            </w:txbxContent>
                          </wps:txbx>
                          <wps:bodyPr anchorCtr="0" anchor="ctr" bIns="149350" lIns="149350" spcFirstLastPara="1" rIns="149350" wrap="square" tIns="149350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0" y="915918"/>
                              <a:ext cx="2771774" cy="779193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cap="flat" cmpd="sng" w="25400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9" name="Shape 39"/>
                          <wps:spPr>
                            <a:xfrm>
                              <a:off x="0" y="915918"/>
                              <a:ext cx="2771774" cy="779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Realização de audiências públicas com os cidadãos nos municípios envolvidos na campanha.</w:t>
                                </w:r>
                              </w:p>
                            </w:txbxContent>
                          </wps:txbx>
                          <wps:bodyPr anchorCtr="0" anchor="ctr" bIns="12700" lIns="71100" spcFirstLastPara="1" rIns="71100" wrap="square" tIns="12700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2771775" y="915918"/>
                              <a:ext cx="2771774" cy="779193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cap="flat" cmpd="sng" w="25400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1" name="Shape 41"/>
                          <wps:spPr>
                            <a:xfrm>
                              <a:off x="2771775" y="915918"/>
                              <a:ext cx="2771774" cy="779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Envolvidos: Servidores públicos, gestores e Municípes, nos municípios envolvidos na campanha. </w:t>
                                </w:r>
                              </w:p>
                            </w:txbxContent>
                          </wps:txbx>
                          <wps:bodyPr anchorCtr="0" anchor="ctr" bIns="12700" lIns="71100" spcFirstLastPara="1" rIns="71100" wrap="square" tIns="127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543550" cy="685800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0" cy="6858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6959600</wp:posOffset>
                </wp:positionV>
                <wp:extent cx="1190625" cy="838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69738" y="3379950"/>
                          <a:ext cx="1152525" cy="800100"/>
                        </a:xfrm>
                        <a:prstGeom prst="downArrow">
                          <a:avLst>
                            <a:gd fmla="val 50000" name="adj1"/>
                            <a:gd fmla="val 25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3806097" dist="28398">
                            <a:srgbClr val="244061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6959600</wp:posOffset>
                </wp:positionV>
                <wp:extent cx="1190625" cy="838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SUGESTÃO DE CRONOGRAMA DO PROJETO.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Coleta, pelo CaopProad, das Informações junto ao TCE/MA , através do SAAP – VÍNCULOS, para subsidiarem a instauração de procedimento administrativo, ou dar seguimento aos já instaurados.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Sugestão no DIA D da Campanha - 01 de Setembro de 2020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Reunião com Gestores Estaduais e Municipais, articulada pelo MPMA, TCE e FAMEM: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Sugestão do Mês de Outubro de 2020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Audiências Públicas, se for fazer: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Sugestão dos Meses de Novembro e Dezembro de 2020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Análise das informações encaminhadas pelos gestores sobre as providências adotadas, para as medidas cabíveis: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Sugestão dos meses de Janeiro e Fevereiro de 2020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 Elaboração de relatórios quadrimestrais sobre os casos resolvidos nos Municípios respectivos: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Março, Julho e Novembro de cada ano.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5.6. Elaboração de relatórios quadrimestrais do CAOP/ProAd, dos casos resolvidos no Maranhão, a serem encaminhados aos órgãos de controle e divulgados para a sociedade civil.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Abril, Agosto e Dezembro de cada ano.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0" w:before="0" w:line="360" w:lineRule="auto"/>
        <w:ind w:left="0" w:right="-568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MATERIAL NECESSÁRIO À EXECUÇÃO DO PROJETO.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409"/>
        <w:gridCol w:w="3963"/>
        <w:tblGridChange w:id="0">
          <w:tblGrid>
            <w:gridCol w:w="2122"/>
            <w:gridCol w:w="2409"/>
            <w:gridCol w:w="3963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68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68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68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Fonte de Recursos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68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Camisas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68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568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568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PROGRAMA INSTITUCIONALMINISTÉRIO PÚBLICO CONTRA A CORRUPÇÃO E A SONEGAÇÃO FISCAL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68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68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Cartazes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68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568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568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PROGRAMA INSTITUCIONALMINISTÉRIO PÚBLICO CONTRA A CORRUPÇÃO E A SONEGAÇÃO FISCAL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68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68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Folder’s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68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568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568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PROGRAMA INSTITUCIONALMINISTÉRIO PÚBLICO CONTRA A CORRUPÇÃO E A SONEGAÇÃO FISCAL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68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09625" cy="809625"/>
          <wp:effectExtent b="0" l="0" r="0" t="0"/>
          <wp:docPr descr="Imagem relacionada" id="4" name="image1.png"/>
          <a:graphic>
            <a:graphicData uri="http://schemas.openxmlformats.org/drawingml/2006/picture">
              <pic:pic>
                <pic:nvPicPr>
                  <pic:cNvPr descr="Imagem relacionad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ESTADO DO MARANHÃO</w:t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PÚBLICO</w:t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GRUPO DE ATUAÇÃO ESPECIALIZADA DA PROBIDADE ADMINISTRATIVA – GAEProAD</w:t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38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