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PORTARIA </w:t>
      </w: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 xml:space="preserve">Nº XXX/20__/PJXXXX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70" w:right="5" w:hanging="12.99999999999954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Objeto: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Instaurar Procedimento Administrativo para acompanhar a execução das ações da Campanha Cidadão Consciente – Gestão Transparente no Município/Secretaria de Estado/Assembleia Legislativa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(especificar o órgão).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13" w:before="113" w:line="360" w:lineRule="auto"/>
        <w:ind w:firstLine="1701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 MINISTÉRIO PÚBLICO DO ESTADO DO MARANHÃO,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por intermédio da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(especificar promotoria)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 Comarca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(especificar comarca),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no uso de suas atribuições conferidas pelo art. 129, incisos II e III da CF/88; art. 26, I da Lei nº 8.625/93; e do art. 26, V, da Lei Complementar Estadual 13/1991 (Lei Orgânica Estadual do Ministério Público), instaura o </w:t>
      </w:r>
      <w:r w:rsidDel="00000000" w:rsidR="00000000" w:rsidRPr="00000000">
        <w:rPr>
          <w:rFonts w:ascii="Arial" w:cs="Arial" w:eastAsia="Arial" w:hAnsi="Arial"/>
          <w:b w:val="1"/>
          <w:highlight w:val="lightGray"/>
          <w:vertAlign w:val="baseline"/>
          <w:rtl w:val="0"/>
        </w:rPr>
        <w:t xml:space="preserve">Procedimento Administrativo </w:t>
      </w:r>
      <w:r w:rsidDel="00000000" w:rsidR="00000000" w:rsidRPr="00000000">
        <w:rPr>
          <w:rFonts w:ascii="Arial" w:cs="Arial" w:eastAsia="Arial" w:hAnsi="Arial"/>
          <w:b w:val="1"/>
          <w:color w:val="ff0000"/>
          <w:highlight w:val="lightGray"/>
          <w:vertAlign w:val="baseline"/>
          <w:rtl w:val="0"/>
        </w:rPr>
        <w:t xml:space="preserve">nº ... (SIMP...)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nos seguintes termos: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3" w:before="113" w:line="360" w:lineRule="auto"/>
        <w:ind w:firstLine="1701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que incumbe ao Ministério Público a defesa do patrimônio público e social, da moralidade e eficiência administrativas, do meio ambiente e de outros interesses difusos e coletivos, na forma dos arts. 127,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caput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e 129, inciso III, da Constituição da República (CR); art. 25, inciso IV, alínea “a”, da Lei nº 8.625/93, e do art.26, inciso V, alíneas “a” e “b’ da Lei Complementar Estadual nº 13/91;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13" w:before="113" w:line="360" w:lineRule="auto"/>
        <w:ind w:firstLine="1701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relevância e a magnitude das atribuições conferidas ao Ministério Público no tocante à defesa do patrimônio público, por força do art. 129, inciso III da Constituição da República e das disposições da Lei nº 7.347/85;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13" w:before="113" w:line="360" w:lineRule="auto"/>
        <w:ind w:firstLine="1701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que são princípios norteadores da Administração Pública e de seus respectivos gestores a legalidade, a impessoalidade, a moralidade, a publicidade e a eficiência;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17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adesão desta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(especificar Promotoria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à Campanha Cidadão Consciente Gestão Transparente, desenvolvida pelo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DE ATUAÇÃO ESPECIALIZADA DA PROBIDADE ADMINISTRATIVA – GAEProAD;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13" w:before="113" w:line="360" w:lineRule="auto"/>
        <w:ind w:firstLine="1701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que o objetivo estratégico da campanha é promover ações voltadas à mobilização das gestões municipais e dos munícipes visando à efetivação de ações preventivas e repressivas voltadas ao combate aos acúmulos ilegais de cargos e “funcionários fantasmas”, em todo o Estado;</w:t>
      </w:r>
    </w:p>
    <w:p w:rsidR="00000000" w:rsidDel="00000000" w:rsidP="00000000" w:rsidRDefault="00000000" w:rsidRPr="00000000" w14:paraId="0000000E">
      <w:pPr>
        <w:spacing w:after="113" w:before="113" w:line="360" w:lineRule="auto"/>
        <w:ind w:firstLine="1701"/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que, desde 2018, o Tribunal de Contas do Estado do Maranhão, como forma de cooperação com as ações desenvolvidas no bojo da Campanha Institucional “Cidadão Consciente, Gestão Transparente”, idealizou e criou a ferramenta “SAAP-Painel de Vínculos”, onde, pelos cruzamentos de dados de folhas de pagamento do Estado e dos municípios, pode-se identificar milhares de vínculos financeiros suspeitos, em todo o Estado, exigindo uma atuação resolutiva por parte dos órgãos de controle;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8" w:line="360" w:lineRule="auto"/>
        <w:ind w:left="5" w:right="5" w:firstLine="0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8" w:line="360" w:lineRule="auto"/>
        <w:ind w:left="5" w:right="5" w:firstLine="0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8" w:line="360" w:lineRule="auto"/>
        <w:ind w:left="5" w:right="5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 - INSTAURAR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presente Procedimento Administrativo, determinando que seja autuada a presente PORTARIA ficando, desde já, nomeada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a (o) Técnica(o) Ministerial, nome do técnico (a)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 atuar como secretária(o), devendo numerar e rubricar todas as suas folhas, procedendo-se na forma disciplinada na Resolução nº 174/2017 do CNMP e normas do Colégio de Procuradores do Ministério Público do Maranhão e ato Conjunto da PGJ e CGMP de registro cronológico;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Que seja a presente PORTARIA publicada no átrio, devendo o Procedimento Administrativo ser anotado sob o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nº xxxx,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tendo como objeto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“a apuração da existência de possíveis acúmulos irregulares de cargos públicos e a existência de funcionários fantasmas no município de 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(especificar),</w:t>
      </w:r>
      <w:r w:rsidDel="00000000" w:rsidR="00000000" w:rsidRPr="00000000">
        <w:rPr>
          <w:color w:val="000000"/>
          <w:sz w:val="27"/>
          <w:szCs w:val="27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atendendo a metodologia desenvolvida no projeto institucional acima referido.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- Cadastrar o procedimento no SIMP seguindo a seguinte classificação taxonômica: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Detalhes – Resumo: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Campanha Cidadão Consciente – Gestão Transparente;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Classificação Taxonômica – Área: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Cível;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Classe MP: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Extrajudiciais – Procedimentos do MP – Procedimento Administrativo;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Assunto(s) MP: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DIREITO ADMINISTRATIVO E OUTRAS MATÉRIAS DE DIREITO PÚBLICO – Atos Administrativos – Improbidade Administrativa – Violação aos Princípios Administrativos.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- Determinar</w:t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 a remessa de cópia ao Setor de Coordenação de Documentação e Biblioteca, mediante cópia dos originais assinados, além do seu inteiro teor em meio magnético ou  enviados aos seguintes e-mails: 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 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biblioteca@mpma.gov.br</w:t>
        </w:r>
      </w:hyperlink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 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ou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biblio.pgj.ma@gmail.com</w:t>
        </w:r>
      </w:hyperlink>
      <w:r w:rsidDel="00000000" w:rsidR="00000000" w:rsidRPr="00000000">
        <w:rPr>
          <w:rFonts w:ascii="Arial" w:cs="Arial" w:eastAsia="Arial" w:hAnsi="Arial"/>
          <w:b w:val="1"/>
          <w:color w:val="44444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44444"/>
          <w:highlight w:val="white"/>
          <w:u w:val="none"/>
          <w:vertAlign w:val="baseline"/>
          <w:rtl w:val="0"/>
        </w:rPr>
        <w:t xml:space="preserve">e a CAOP/ProAd;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Coletar os dados referentes aos servidores públicos do Município de....., no sítio eletrônico do Tribunal de Contas do Estado no Maranhão, no sistema SAAP – Painel de Vínculos - </w:t>
      </w:r>
      <w:hyperlink r:id="rId10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https://www6.tce.ma.gov.br/autentica/sistemas.zul</w:t>
        </w:r>
      </w:hyperlink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VI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Oficiar os Gestores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(Prefeito/Secretário de Estado/Presidente da Assembleia Legislativa/Presidente de Câmara,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para convidá-lo a participar de reunião, onde será apresentada RECOMENDAÇÃO acompanhada da relação dos servidores identificados com indicação de acúmulo ilegal para que adote as providências necessárias. E, no prazo de 45 (quarenta e cinco dias) dias, encaminhe a esta Promotoria de Justiça, informações sobre essas providências.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VII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 entender necessário, oficiar os Gestores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(Prefeito/Secretário de Estado/Presidente da Assembleia Legislativa/Presidente de Câmara,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e Representantes dos órgãos da Sociedade Civil Organizada, convocando-os para audiência pública a ser realizada no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dia XXXXXX, local, horário;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Transcorrido o prazo da resposta dos Gestores Públicos, sem resposta, reitere-se. Com resposta, concluso para análise e providências necessárias, inclusive o ajuizamento de ação.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Após, elabore-se relatório nos meses de Março, Julho e Novembro de cada ano, encaminhando-se ao CAOP/ProAd, para os fins necessários.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6" w:right="6" w:firstLine="1701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144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Município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/MA,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Promotor/a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134" w:top="1134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“2017 – O Ministério Público e o cidadão no combate à corrupção”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2103755" cy="6921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3755" cy="692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PROMOTORIA DE JUSTIÇA DE...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6.tce.ma.gov.br/autentica/sistemas.zul" TargetMode="External"/><Relationship Id="rId12" Type="http://schemas.openxmlformats.org/officeDocument/2006/relationships/footer" Target="footer1.xml"/><Relationship Id="rId9" Type="http://schemas.openxmlformats.org/officeDocument/2006/relationships/hyperlink" Target="mailto:biblio.pgj.ma@gmail.com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mailto:biblioteca@mpma.gov.br" TargetMode="External"/><Relationship Id="rId8" Type="http://schemas.openxmlformats.org/officeDocument/2006/relationships/hyperlink" Target="mailto:oubiblio.pgj.ma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