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Referente ao Procedimento nº </w:t>
      </w:r>
    </w:p>
    <w:p w:rsidR="00000000" w:rsidDel="00000000" w:rsidP="00000000" w:rsidRDefault="00000000" w:rsidRPr="00000000" w14:paraId="00000002">
      <w:pPr>
        <w:pStyle w:val="Heading1"/>
        <w:spacing w:after="0" w:before="24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DESPACHO</w:t>
      </w:r>
    </w:p>
    <w:p w:rsidR="00000000" w:rsidDel="00000000" w:rsidP="00000000" w:rsidRDefault="00000000" w:rsidRPr="00000000" w14:paraId="00000003">
      <w:pPr>
        <w:spacing w:after="4" w:before="240" w:line="348" w:lineRule="auto"/>
        <w:ind w:left="-6" w:right="11" w:firstLine="11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0"/>
        </w:tabs>
        <w:spacing w:after="14" w:before="240" w:line="343" w:lineRule="auto"/>
        <w:ind w:left="-6" w:right="54" w:firstLine="1545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Trata-se de RECOMENDAÇÃO n.º 13/2020-GPGJ, de 26 de outubro de 2020,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expedida pelo Exmo Procurador Geral de Justiça, aos órgãos de execução do Ministério Público, para fins de acompanhamento das medidas tomadas pelos entes e órgãos públicos estaduais e municipais, em razão do recebimento indevido do auxílio emergencial por servidores públicos (ativos, aposentados e pensionistas), de acordo com as diretrizes da Nota Técnica Conjunta n.º 1361/2020/CGU-MA/TCE-MA e Decisão Normativa TCE/MA n.º 37/2020.</w:t>
      </w:r>
    </w:p>
    <w:p w:rsidR="00000000" w:rsidDel="00000000" w:rsidP="00000000" w:rsidRDefault="00000000" w:rsidRPr="00000000" w14:paraId="00000005">
      <w:pPr>
        <w:spacing w:after="91" w:before="240" w:lineRule="auto"/>
        <w:ind w:right="11" w:firstLine="128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Diante disso, determino, desde já, as seguintes providências/diligências:</w:t>
      </w:r>
    </w:p>
    <w:p w:rsidR="00000000" w:rsidDel="00000000" w:rsidP="00000000" w:rsidRDefault="00000000" w:rsidRPr="00000000" w14:paraId="00000006">
      <w:pPr>
        <w:spacing w:after="91" w:before="240" w:lineRule="auto"/>
        <w:ind w:right="11" w:firstLine="1286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4" w:before="0" w:line="348" w:lineRule="auto"/>
        <w:ind w:left="1641" w:right="11" w:hanging="316.999999999999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Instaure-se Procedimento Administrativo com a finalidade de acompanhar e apurar os fatos suso aludidos, devendo ser assinalada a opção restrito no sistema, diante da existência de informações de cunho pessoal dos investigados;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4" w:before="0" w:line="348" w:lineRule="auto"/>
        <w:ind w:left="1641" w:right="11" w:hanging="316.999999999999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Oficie-se o Município de __________, por intermédio de seu Procurador Geral, para, no prazo de 15 (quinze) dias, adotar as seguintes medidas: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4" w:before="0" w:line="348" w:lineRule="auto"/>
        <w:ind w:left="2795" w:right="11" w:hanging="316.9999999999999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l) Identificação e qualificação dos servidores públicos constantes da lista anexa, extraída do PAINEL DE VÍNCULOS SAAP – AUXÍLIO EMERGENCIAL;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1"/>
          <w:numId w:val="2"/>
        </w:numPr>
        <w:spacing w:after="4" w:before="0" w:line="348" w:lineRule="auto"/>
        <w:ind w:left="2763" w:right="2" w:hanging="316.999999999999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Informe sobre a instauração de Procedimento Administrativo Disciplinar em face daqueles que possuam vínculo laborativo com o município, encaminhando cópias das respectivas portarias de instauração;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1"/>
          <w:numId w:val="2"/>
        </w:numPr>
        <w:spacing w:after="4" w:before="0" w:line="348" w:lineRule="auto"/>
        <w:ind w:left="2763" w:right="2" w:hanging="316.999999999999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caso de desvinculação de servidor, informe as respectivas datas de exoneração/rescisão contratual, encaminhando a documentação comprobatória;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1"/>
          <w:numId w:val="2"/>
        </w:numPr>
        <w:spacing w:after="4" w:before="0" w:line="345" w:lineRule="auto"/>
        <w:ind w:left="2763" w:right="2" w:hanging="316.999999999999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Efetive a notificação dos servidores, de forma individual e reservada, para se manifestarem quanto ao recebimento do benefício, devendo cópia da defesa ser encaminhada ao Ministério Público, no prazo de 5 dias, após sua apresentação pelo servidor;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spacing w:after="4" w:before="0" w:line="345" w:lineRule="auto"/>
        <w:ind w:left="2763" w:right="2" w:hanging="316.999999999999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Esclareça se os servidores efetivaram à devolução dos valores recebidos de modo indevido, procedendo o Município as informações necessárias ao ressarcimento;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spacing w:after="4" w:before="0" w:line="345" w:lineRule="auto"/>
        <w:ind w:left="2763" w:right="2" w:hanging="316.999999999999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Observar nos casos dos beneficiários inscritos no CadUnico ou beneficiários do Bolsa Família, se o auxílio emergencial foi gerado de forma automática ou por solicitação expressa indicada pela sigla ExtraCad;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spacing w:after="492" w:before="0" w:line="345" w:lineRule="auto"/>
        <w:ind w:left="2763" w:right="2" w:hanging="316.999999999999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Oriente os servidores a procederam a atualização do Cadastro Único do Governo (CadUnico) com informações fidedignas acerca da renda e composição familiar;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5" w:before="0" w:line="345" w:lineRule="auto"/>
        <w:ind w:left="1560" w:right="2" w:hanging="284.00000000000006"/>
        <w:jc w:val="both"/>
        <w:rPr>
          <w:rFonts w:ascii="Calibri" w:cs="Calibri" w:eastAsia="Calibri" w:hAnsi="Calibri"/>
          <w:smallCaps w:val="0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 fim, determino ao corpo técnico administrativo desta Promotoria de Justiça que junto ao expediente enviado ao município encaminhe cópia da planilha contendo unicamente as informações referentes ao município de 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1"/>
        <w:spacing w:after="160" w:before="0" w:line="259" w:lineRule="auto"/>
        <w:jc w:val="left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spacing w:after="264" w:before="0" w:lineRule="auto"/>
      <w:ind w:right="0" w:firstLine="0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“2020: O Ministério Público no fortalecimento do controle social”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spacing w:after="0" w:before="0" w:line="276" w:lineRule="auto"/>
      <w:ind w:right="2" w:firstLine="0"/>
      <w:jc w:val="center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  </w:t>
    </w: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</w:rPr>
      <w:drawing>
        <wp:inline distB="0" distT="0" distL="0" distR="0">
          <wp:extent cx="692150" cy="5905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222" l="-215" r="-215" t="-222"/>
                  <a:stretch>
                    <a:fillRect/>
                  </a:stretch>
                </pic:blipFill>
                <pic:spPr>
                  <a:xfrm>
                    <a:off x="0" y="0"/>
                    <a:ext cx="692150" cy="5905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spacing w:after="0" w:before="0" w:line="276" w:lineRule="auto"/>
      <w:ind w:right="2" w:firstLine="0"/>
      <w:jc w:val="center"/>
      <w:rPr>
        <w:rFonts w:ascii="Times New Roman" w:cs="Times New Roman" w:eastAsia="Times New Roman" w:hAnsi="Times New Roman"/>
        <w:b w:val="1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0"/>
        <w:szCs w:val="20"/>
        <w:rtl w:val="0"/>
      </w:rPr>
      <w:t xml:space="preserve">Estado do Maranhão</w:t>
    </w:r>
  </w:p>
  <w:p w:rsidR="00000000" w:rsidDel="00000000" w:rsidP="00000000" w:rsidRDefault="00000000" w:rsidRPr="00000000" w14:paraId="00000014">
    <w:pPr>
      <w:spacing w:after="0" w:before="0" w:line="276" w:lineRule="auto"/>
      <w:ind w:left="10" w:right="2" w:hanging="10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0"/>
        <w:szCs w:val="20"/>
        <w:rtl w:val="0"/>
      </w:rPr>
      <w:t xml:space="preserve">MINISTÉRIO PÚBLICO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spacing w:after="264" w:before="0" w:line="276" w:lineRule="auto"/>
      <w:ind w:right="2" w:firstLine="0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0"/>
        <w:szCs w:val="20"/>
        <w:rtl w:val="0"/>
      </w:rPr>
      <w:t xml:space="preserve">PROMOTORIA DE JUSTIÇA DE ________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1641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2404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3124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3844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4564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5284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6004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6724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7444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"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2"/>
      <w:numFmt w:val="decimal"/>
      <w:lvlText w:val="%2)"/>
      <w:lvlJc w:val="left"/>
      <w:pPr>
        <w:ind w:left="2762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353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425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49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569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641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713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785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spacing w:after="670" w:before="0" w:lineRule="auto"/>
      <w:ind w:left="324" w:firstLine="0"/>
      <w:jc w:val="center"/>
    </w:pPr>
    <w:rPr>
      <w:rFonts w:ascii="Times New Roman" w:cs="Times New Roman" w:eastAsia="Times New Roman" w:hAnsi="Times New Roman"/>
      <w:color w:val="000000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