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PORTARIA 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.666666666666668"/>
          <w:szCs w:val="26.666666666666668"/>
          <w:u w:val="singl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----/2020-PJ-----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ind w:left="4253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ind w:left="4253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ind w:left="4253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ind w:left="4253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ind w:left="3402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OBJETO: </w:t>
      </w:r>
      <w:r w:rsidDel="00000000" w:rsidR="00000000" w:rsidRPr="00000000">
        <w:rPr>
          <w:rFonts w:ascii="Arial" w:cs="Arial" w:eastAsia="Arial" w:hAnsi="Arial"/>
          <w:rtl w:val="0"/>
        </w:rPr>
        <w:t xml:space="preserve">Instaurar Procedimento Administrativo para acompanhar a implantação da modalidade eletrônica do pregão, no Município_____, em cumprimento aos princípios constitucionais da Administração Pública e a legislação infraconstitucional vigente, especialmente o Decreto nº 10.024/2019, bem como sua utilização obrigatória, como regra, nas contratações governamentais de bens e serviços comuns, inclusive de engenharia, e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independente da fonte de recursos envolvida, s</w:t>
      </w:r>
      <w:r w:rsidDel="00000000" w:rsidR="00000000" w:rsidRPr="00000000">
        <w:rPr>
          <w:rFonts w:ascii="Arial" w:cs="Arial" w:eastAsia="Arial" w:hAnsi="Arial"/>
          <w:rtl w:val="0"/>
        </w:rPr>
        <w:t xml:space="preserve">alvo se ficar cabalmente comprovada a incapacidade técnica ou a desvantagem para a administração pública na realização da forma eletrônica (art. 1º, §4º do Decreto n. 10.024/2019).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MINISTÉRIO PÚBLICO DO ESTADO DO MARANHÃO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por intermédio do Promotor de Justiça subscritor, no desempenho de suas atribuições constitucionais e legais, com supedâneo nas disposições contidas nos artigos 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.666666666666668"/>
          <w:szCs w:val="26.666666666666668"/>
          <w:u w:val="singl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incisos I e III, 30, inciso III, 127,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caput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129, inciso III, 140, §1º e 150, inciso II, da Constituição Federal; artigo 25, inciso IV, da Lei n. 8.625/93; artigo 11,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caput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da Lei Complementar 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.666666666666668"/>
          <w:szCs w:val="26.666666666666668"/>
          <w:u w:val="singl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101/2000 e art. 10, inciso X, da Lei n. 8.429/1992;</w:t>
      </w:r>
    </w:p>
    <w:p w:rsidR="00000000" w:rsidDel="00000000" w:rsidP="00000000" w:rsidRDefault="00000000" w:rsidRPr="00000000" w14:paraId="0000000A">
      <w:pPr>
        <w:spacing w:after="200" w:line="276" w:lineRule="auto"/>
        <w:ind w:left="0" w:right="85" w:firstLine="17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que incumbe ao Ministério Público a defesa do patrimônio público e social, da moralidade e eficiência administrativas, do meio ambiente e outros interesses difusos e coletivos, na forma dos arts. 127,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caput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 129, inciso III, da Constituição da República (CR); art. 25, inciso IV, alínea ‘a’, da Lei nº 8.625/93, e do art. 26, inciso V, alíneas “a” e “b”, da Lei Complementar Estadual nº 13/91;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ind w:left="0" w:right="85" w:firstLine="17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 relevância e a magnitude das atribuições conferidas ao Ministério Público no tocante à Defesa do Patrimônio Público, por força do art. 129, III, da Constituição da República (CR) e das disposições da Lei nº 7.347/85;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ind w:left="0" w:right="0" w:firstLine="17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que são princípios norteadores da Administração Pública e de seus respectivos gestores a legalidade, moralidade, publicidade, eficiência e impessoalidade;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existência de diversos procedimentos investigatórios, ações penais e ações civis públicas, manejadas por esta Promotoria de Justiça, envolvendo fraudes em processos licitatórios realizados pela Prefeitura Municipal de _______, onde boa parte deles referem-se a licitações na modalidade de pregão presencial;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que, em consulta ao SACOP, ao SICONV e a outras fontes abertas de informações, não se identificou a realização, por esta municipalidade, de pregão na modalidade eletrônica, embora já esteja alcançado pelas disposições do Decreto 10.024/2020;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a Lei n. 10.520/2002 institui, no âmbito da União, Estados, Distrito Federal e Municípios, nos termos do art. 37, inciso XXI, da Constituição Federal, modalidade de licitação denominada pregão, para aquisição de bens e serviços comuns, e dá outras providências, estabelecendo no art.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2º., § 1º. Que </w:t>
      </w:r>
      <w:bookmarkStart w:colFirst="0" w:colLast="0" w:name="gjdgxs" w:id="0"/>
      <w:bookmarkEnd w:id="0"/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poderá ser realizado o pregão por meio da utilização de recursos de tecnologia da informação, nos termos de regulamentação específica.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Decreto nº 10.024, de 20 de setembro de 2019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regulamenta a licitação, na modalidade pregão, na forma eletrônica, para a aquisição de bens e a contratação de serviços comuns,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incluídos os serviços comuns de engenharia, e dispõe sobre o uso da dispensa eletrônica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âmbito da administração pública federal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direta, autarquias, fundações e fundos especiais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estabelecendo essa modalidade de licitação como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obrigatória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não mais preferencial, como dispunha o Decreto 5.450/2005.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que a Lei nº 13.979/2020, que dispõe sobre as medidas para o enfrentamento da emergência de saúde pública de importância internacional decorrente do coronavírus, além de prever a hipótese de dispensa temporária de realização de procedimento licitatório, trouxe a figura do chamado pregão simplificado, determinando a redução pela metade de alguns prazos procedimentais, especificamente, para esse período, quando se tratar de aquisição de bens, serviços e insumos necessários ao enfrentamento da crise do coronavírus.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que as medidas previstas na Lei nº 13.979/2020 têm como objetivo conferir maior eficiência e celeridade aos procedimentos de contratação de bens, serviços e insumos, incluindo os serviços comuns de engenharia, destinados direta ou indiretamente ao enfrentamento do Covid-19.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que as disposições da Lei nº 13.979/2020 ressaltam que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  <w:rtl w:val="0"/>
        </w:rPr>
        <w:t xml:space="preserve">a utilização do pregão eletrônico contribui com o isolamento social preconizado pelos órgãos de saúde, em virtude da pandemia Covid-19, pois sua operacionalização é completamente remota (via computador).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para a aquisição de bens e a contratação de serviços comuns pelos entes federativos, com a utilização de recursos da União decorrentes de transferências voluntárias, tais como 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convênios e contratos de repasse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, a utilização da modalidade de pregão, na forma eletrônica, ou da dispensa eletrônica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será obrigatória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, exceto nos casos em que a lei ou a regulamentação específica que dispuser sobre a modalidade de transferência discipline de forma diversa as contratações com os recursos do repasse.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que, apesar dessa obrigatoriedade se estender apenas aos órgãos da administração pública federal, e nos casos de recursos de transferência voluntária aos entes públicos,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recomenda-se, em larga escala, a utilização do pregão eletrônico face a economia gerada, simplificação de procedimentos burocráticos e transparência na atuação da administração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que não se concebe, por absoluta incoerência e falta de razoabilidade, que o ente público, uma vez que passe a utilizar o pregão eletrônico para as contratações com recursos federais, por determinação do Decreto 10.024/2019, deixe de fazer uso dessa modalidade, sem qualquer justificativa plausível, quando se tratar de recursos próprios ou de outras fontes, utilizando-se da suposta conveniência e oportunidade, quando não se tratam de situações envolvendo discricionariedade administrativa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também, que a desburocratização dos atos envolvidos contribui para uma melhoria significativa da eficiência em relação às demais modalidades licitatórias, já que no pregão eletrônico somente são verificados os documentos do licitante vencedor e não de todos os participantes.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ainda, o ganho acarretado em razão da transparência e do controle social na aquisição de bens e serviços, sem olvidar a possibilidade de participação de empresas de todo o país, através de lances virtuais, ampliando assim a quantidade de fornecedores e favorecendo a ampla competitividade.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que, conforme já decidido pelo TCU, o Pregão Eletrônico propicia maior competitividade entre potenciais fornecedores, favorecendo a economia na aquisição dos bens, com melhor possibilidade de alcance de propostas mais vantajosas, pelas características dessa disputa (Processo 002.497/2014-0).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que, no Acórdão nº 1.099/2010, do Plenário do TCU,  o eminente Ministro Relator considera em seu voto que: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 utilização do pregão na forma presencial, sem que tenha havido demonstração da inviabilidade de utilização da forma eletrônica, não se conforma com o preceito contido no art. 4º, § 1º, do Decreto 5.450/2005”.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 cediço que a adoção do Pregão Eletrônico acarreta maior celeridade, racionalização, competitividade, transparência, impessoalidade e economia para a administração pública, prevenindo a ocorrência de atos de improbidade administrativa e crimes contra os cofres públicos;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que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Instrução Normativa da União n° 206, de 18 de outubro de 2019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(disponível em: </w:t>
      </w:r>
      <w:hyperlink r:id="rId6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http://www.in.qov.br/web/dou/-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estabeleceu prazos, que, inclusive já expiraram, e que há necessidade urgente da adoção do pregão eletrônico pelos municípios;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00" w:line="276" w:lineRule="auto"/>
        <w:ind w:left="0" w:right="0" w:firstLine="17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RESOLVE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instaurar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presente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PROCEDIMENTO ADMINISTRATIVO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acompanhar a efetiva implementação da modalidade de licitação pregão eletrônico no município_____, em cumprimento ao Decreto nº 10.024/2019, bem como aos princípios constitucionais da administração pública, a fim de que seja utilizado, como regra, e observada a obrigatoriedade prevista no Decreto, em referência, nas contratações governamentais de bens e serviços comuns, inclusive de engenharia, 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independente da fonte de recursos envolvida, salvo se ficar cabalmente comprovada a incapacidade técnica ou a desvantagem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 administração pública na realização da forma eletrônica (art. 1º, §4º do Decreto n. 10.024/2019);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Determina-se, de logo, a adoção das seguintes diligências: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720"/>
          <w:tab w:val="right" w:pos="8838"/>
        </w:tabs>
        <w:spacing w:after="200" w:before="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 – Remeta-se cópia desta Portaria para a Coordenação de Biblioteca e Documentação desta Procuradoria-Geral de Justiça para publicação no Diário Oficial Eletrônico do Ministério Público, por meio de um dos endereços de e-mails indicados no Ofício-Circular nº 04/2015-CSMP (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1155cc"/>
            <w:u w:val="single"/>
            <w:rtl w:val="0"/>
          </w:rPr>
          <w:t xml:space="preserve">diarioeletronico@mpma.mp.br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), procedendo-se à juntada aos autos da comprovação do envio, mediante cópia devidamente assinada;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13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II – Em se tratando de procedimento com matéria afeta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à campanha institucional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Ministério Público do Estado do Maranhão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determino a remessa de cópia da portaria de instauração ao Centro de Apoio Operacional da Defesa do Patrimônio Público e da Probidade Administrativa do Ministério Público do Estado do Maranhão, para ciência e registro nas estatísticas apropriadas;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13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III – Afixação desta Portaria no quadro de avisos desta Promotoria Regional;</w:t>
      </w:r>
    </w:p>
    <w:p w:rsidR="00000000" w:rsidDel="00000000" w:rsidP="00000000" w:rsidRDefault="00000000" w:rsidRPr="00000000" w14:paraId="00000023">
      <w:pPr>
        <w:widowControl w:val="0"/>
        <w:spacing w:after="200" w:before="113" w:line="276" w:lineRule="auto"/>
        <w:ind w:left="0" w:right="0" w:firstLine="17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rtl w:val="0"/>
        </w:rPr>
        <w:t xml:space="preserve">V – Expeça-se recomendação ao Senhor Prefeito Municipal, sobre os fatos em apreço, para que sejam adotadas medidas administrativas necessárias para a utilização da modalidade pregão, tão somente, em sua forma eletrônica, no prazo máximo de 30 (trinta dias), em razão da superveniência dos prazos previstos na Instrução Normativa da União n° 206, de 18 de outubro de 2019;</w:t>
      </w:r>
    </w:p>
    <w:p w:rsidR="00000000" w:rsidDel="00000000" w:rsidP="00000000" w:rsidRDefault="00000000" w:rsidRPr="00000000" w14:paraId="00000024">
      <w:pPr>
        <w:widowControl w:val="0"/>
        <w:spacing w:after="200" w:before="113" w:line="276" w:lineRule="auto"/>
        <w:ind w:left="0" w:right="0" w:firstLine="17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 – O registro e a autuação da presente Portaria nos sistemas de informação SIMP adotado pelo Ministério Público do Estado do Maranhão, como “PROCEDIMENTO ADMINISTRATIVO DE ACOMPANHAMENTO DE POLÍTICAS PÚBLICAS”, vinculado a esta Promotoria de Justiça, com devida numeração no sistema informatizado, juntando-se os documentos já disponíveis.</w:t>
      </w:r>
    </w:p>
    <w:p w:rsidR="00000000" w:rsidDel="00000000" w:rsidP="00000000" w:rsidRDefault="00000000" w:rsidRPr="00000000" w14:paraId="00000025">
      <w:pPr>
        <w:widowControl w:val="0"/>
        <w:spacing w:after="200" w:line="276" w:lineRule="auto"/>
        <w:ind w:left="0" w:right="0" w:firstLine="17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Após o cumprimento das diligências preliminares, voltem-me os autos conclusos.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Publique-se e cumpra-se.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----------------/MA, -- de ---------- 2020</w:t>
      </w:r>
    </w:p>
    <w:sectPr>
      <w:headerReference r:id="rId8" w:type="default"/>
      <w:footerReference r:id="rId9" w:type="default"/>
      <w:pgSz w:h="16838" w:w="11906" w:orient="portrait"/>
      <w:pgMar w:bottom="1412" w:top="1276" w:left="1701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Style w:val="Heading1"/>
      <w:numPr>
        <w:ilvl w:val="0"/>
        <w:numId w:val="1"/>
      </w:numPr>
      <w:tabs>
        <w:tab w:val="left" w:pos="0"/>
      </w:tabs>
      <w:spacing w:after="0" w:before="56" w:line="246.99999999999994" w:lineRule="auto"/>
      <w:ind w:left="851" w:right="1197" w:firstLine="0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2020: O Ministério Público no fortalecimento do controle social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left" w:pos="567"/>
        <w:tab w:val="left" w:pos="1134"/>
        <w:tab w:val="left" w:pos="1701"/>
        <w:tab w:val="center" w:pos="4419"/>
        <w:tab w:val="right" w:pos="8838"/>
      </w:tabs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ESTADO DO MARANHÃO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2438400</wp:posOffset>
          </wp:positionH>
          <wp:positionV relativeFrom="paragraph">
            <wp:posOffset>-615314</wp:posOffset>
          </wp:positionV>
          <wp:extent cx="817245" cy="5143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7245" cy="514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tabs>
        <w:tab w:val="left" w:pos="567"/>
        <w:tab w:val="left" w:pos="1134"/>
        <w:tab w:val="left" w:pos="1701"/>
        <w:tab w:val="center" w:pos="4419"/>
        <w:tab w:val="right" w:pos="8838"/>
      </w:tabs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PÚBLICO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1"/>
        <w:strike w:val="0"/>
        <w:color w:val="00000a"/>
        <w:sz w:val="20"/>
        <w:szCs w:val="20"/>
        <w:u w:val="none"/>
        <w:shd w:fill="auto" w:val="clear"/>
        <w:vertAlign w:val="baseline"/>
        <w:rtl w:val="0"/>
      </w:rPr>
      <w:t xml:space="preserve">PROMOTORIA DE JUSTIÇA DE ----------------------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958" w:hanging="540"/>
      </w:pPr>
      <w:rPr/>
    </w:lvl>
    <w:lvl w:ilvl="1">
      <w:start w:val="1"/>
      <w:numFmt w:val="lowerLetter"/>
      <w:lvlText w:val="%2."/>
      <w:lvlJc w:val="left"/>
      <w:pPr>
        <w:ind w:left="2498" w:hanging="360"/>
      </w:pPr>
      <w:rPr/>
    </w:lvl>
    <w:lvl w:ilvl="2">
      <w:start w:val="1"/>
      <w:numFmt w:val="lowerRoman"/>
      <w:lvlText w:val="%3."/>
      <w:lvlJc w:val="right"/>
      <w:pPr>
        <w:ind w:left="3218" w:hanging="180"/>
      </w:pPr>
      <w:rPr/>
    </w:lvl>
    <w:lvl w:ilvl="3">
      <w:start w:val="1"/>
      <w:numFmt w:val="decimal"/>
      <w:lvlText w:val="%4."/>
      <w:lvlJc w:val="left"/>
      <w:pPr>
        <w:ind w:left="3938" w:hanging="360"/>
      </w:pPr>
      <w:rPr/>
    </w:lvl>
    <w:lvl w:ilvl="4">
      <w:start w:val="1"/>
      <w:numFmt w:val="lowerLetter"/>
      <w:lvlText w:val="%5."/>
      <w:lvlJc w:val="left"/>
      <w:pPr>
        <w:ind w:left="4658" w:hanging="360"/>
      </w:pPr>
      <w:rPr/>
    </w:lvl>
    <w:lvl w:ilvl="5">
      <w:start w:val="1"/>
      <w:numFmt w:val="lowerRoman"/>
      <w:lvlText w:val="%6."/>
      <w:lvlJc w:val="right"/>
      <w:pPr>
        <w:ind w:left="5378" w:hanging="180"/>
      </w:pPr>
      <w:rPr/>
    </w:lvl>
    <w:lvl w:ilvl="6">
      <w:start w:val="1"/>
      <w:numFmt w:val="decimal"/>
      <w:lvlText w:val="%7."/>
      <w:lvlJc w:val="left"/>
      <w:pPr>
        <w:ind w:left="6098" w:hanging="360"/>
      </w:pPr>
      <w:rPr/>
    </w:lvl>
    <w:lvl w:ilvl="7">
      <w:start w:val="1"/>
      <w:numFmt w:val="lowerLetter"/>
      <w:lvlText w:val="%8."/>
      <w:lvlJc w:val="left"/>
      <w:pPr>
        <w:ind w:left="6818" w:hanging="360"/>
      </w:pPr>
      <w:rPr/>
    </w:lvl>
    <w:lvl w:ilvl="8">
      <w:start w:val="1"/>
      <w:numFmt w:val="lowerRoman"/>
      <w:lvlText w:val="%9."/>
      <w:lvlJc w:val="right"/>
      <w:pPr>
        <w:ind w:left="7538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23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in.qov.br/web/dou/-" TargetMode="External"/><Relationship Id="rId7" Type="http://schemas.openxmlformats.org/officeDocument/2006/relationships/hyperlink" Target="mailto:diarioeletronico@mpma.mp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