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ADMINISTRATIVO SIMP Nº 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2267.71653543307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EMENTA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RECOMENDA AO MUNICÍPIO DE ____________ A ADOÇÃO DA MODALIDADE LICITATÓRIA DENOMINADA PREGÃO ELETRÔNICO PARA AQUISIÇÃO DE BENS E SERVIÇOS COMUNS, INCLUSIVE DE ENGENHARIA.</w:t>
      </w:r>
    </w:p>
    <w:p w:rsidR="00000000" w:rsidDel="00000000" w:rsidP="00000000" w:rsidRDefault="00000000" w:rsidRPr="00000000" w14:paraId="00000005">
      <w:pPr>
        <w:spacing w:after="200" w:line="276" w:lineRule="auto"/>
        <w:ind w:firstLine="70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ind w:firstLine="70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MINISTÉRIO PÚBLICO DO ESTADO DO MARANHÃO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pelo Promotor de Justiça que esta subscreve, com fundamento no artigo 27, parágrafo único, inciso IV, da Lei n.º 8.625/93; art. 6°, inciso XX da Lei Complementar Federal n° 75/93; </w:t>
      </w:r>
    </w:p>
    <w:p w:rsidR="00000000" w:rsidDel="00000000" w:rsidP="00000000" w:rsidRDefault="00000000" w:rsidRPr="00000000" w14:paraId="00000008">
      <w:pPr>
        <w:spacing w:after="200" w:before="288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 incumbe ao Ministério Público a defesa do patrimônio público e social, da moralidade e da eficiência administrativa, nos termos dos artigos 127,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e 129, inciso III, da Constituição da República; artigo 25, inciso IV, alínea “a”, da Lei n.º 8.625/93; e artigo 26, parágrafo 1, inciso IV, da Lei Complementar Estadual n.º 13/91;</w:t>
      </w:r>
    </w:p>
    <w:p w:rsidR="00000000" w:rsidDel="00000000" w:rsidP="00000000" w:rsidRDefault="00000000" w:rsidRPr="00000000" w14:paraId="00000009">
      <w:pPr>
        <w:spacing w:after="200" w:before="288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 compete ao Ministério Público expedir recomendações visando ao efetivo respeito aos interesses, direitos e bens cuja defesa lhe cabe promover;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são princípios norteadores da Administração pública, entre outros, a legalidade, a impessoalidade, a moralidade, a publicidade e a eficiência;</w:t>
      </w:r>
    </w:p>
    <w:p w:rsidR="00000000" w:rsidDel="00000000" w:rsidP="00000000" w:rsidRDefault="00000000" w:rsidRPr="00000000" w14:paraId="0000000B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 existência de dezenas de procedimentos investigatórios, ações penais e ações civis públicas manejadas por esta Promotoria de Justiça envolvendo fraudes em processos licitatórios realizados pela Prefeitura Municipal de _______, boa parte deles relacionados a Pregões Presenciais.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a Lei n. 10.520/2002 institui, no âmbito da União, Estados, Distrito Federal e Municípios, nos termos do art. 37, inciso XXI, da Constituição Federal, modalidade de licitação denominada pregão, para aquisição de bens e serviços comuns, e dá outras providências, estabelecendo no art.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2º, § 1º, q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 poderá ser realizado o pregão por meio da utilização de recursos de tecnologia da informação, nos termos de regulamentação específica.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 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Decreto nº 10.024, de 20 de setembro de 2019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regulamenta a licitação, na modalidade pregão, na forma eletrônica, para a aquisição de bens e a contratação de serviços comuns,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incluídos os serviços comuns de engenharia, e dispõe sobre o uso da dispensa eletrônica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no âmbito da administração pública federal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vertAlign w:val="baseline"/>
          <w:rtl w:val="0"/>
        </w:rPr>
        <w:t xml:space="preserve">direta, autarquias, fundações e fundos especiais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estabelecendo essa modalidade de licitação como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obrigatória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não mais preferencial, como dispunha o Decreto 5.450/2005.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para a aquisição de bens e a contratação de serviços comuns pelos entes federativos, com a utilização de recursos da União decorrentes de transferências voluntárias, tais como 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convênios e contratos de repasse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a utilização da modalidade de pregão, na forma eletrônica, ou da dispensa eletrônica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será obrigatória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exceto nos casos em que a lei ou a regulamentação específica que dispuser sobre a modalidade de transferência discipline de forma diversa as contratações com os recursos do repasse.</w:t>
      </w:r>
    </w:p>
    <w:p w:rsidR="00000000" w:rsidDel="00000000" w:rsidP="00000000" w:rsidRDefault="00000000" w:rsidRPr="00000000" w14:paraId="0000000F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que, apesar dessa obrigatoriedade se estender apenas aos órgãos da administração pública federal, e nos casos de recursos de transferência voluntária aos entes públicos,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recomenda-se, em larga escala, a utilização do pregão eletrônico, face à economia gerada, simplificação de procedimentos burocráticos e transparência na atuação da administração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também, que a desburocratização dos atos envolvidos contribui para uma melhoria significativa da eficiência em relação às demais modalidades licitatórias, já que no pregão eletrônico somente são verificados os documentos do licitante vencedor e não de todos os participantes.</w:t>
      </w:r>
    </w:p>
    <w:p w:rsidR="00000000" w:rsidDel="00000000" w:rsidP="00000000" w:rsidRDefault="00000000" w:rsidRPr="00000000" w14:paraId="00000011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ainda, o ganho acarretado em razão da transparência e do controle social na aquisição de bens e serviços, sem olvidar a possibilidade de participação de empresas de todo o país, através de lances virtuais, ampliando assim a quantidade de fornecedores e favorecendo a ampla competitividade.</w:t>
      </w:r>
    </w:p>
    <w:p w:rsidR="00000000" w:rsidDel="00000000" w:rsidP="00000000" w:rsidRDefault="00000000" w:rsidRPr="00000000" w14:paraId="00000012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que, conforme já decidido pelo TCU, o Pregão Eletrônico propicia maior competitividade entre potenciais fornecedores, favorecendo a economia na aquisição dos bens, com melhor possibilidade de alcance de propostas mais vantajosas, pelas características dessa disputa (Processo 002.497/2014-0).</w:t>
      </w:r>
    </w:p>
    <w:p w:rsidR="00000000" w:rsidDel="00000000" w:rsidP="00000000" w:rsidRDefault="00000000" w:rsidRPr="00000000" w14:paraId="00000013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que  no Acórdão nº 1.099/2010, do Plenário do TCU,  o eminente  Ministro Relator considera em seu voto que: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“a utilização do pregão na forma presencial, sem que tenha havido demonstração da inviabilidade de utilização da forma eletrônica, não se conforma com o preceito contido no art. 4º, § 1º, do Decreto 5.450/2005”.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ser cediço que a adoção do Pregão Eletrônico acarreta maior celeridade, racionalização, competitividade, transparência, impessoalidade e economia para a administração pública, prevenindo a ocorrência de atos de improbidade administrativa e crimes contra os cofres públicos;</w:t>
      </w:r>
    </w:p>
    <w:p w:rsidR="00000000" w:rsidDel="00000000" w:rsidP="00000000" w:rsidRDefault="00000000" w:rsidRPr="00000000" w14:paraId="00000015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que, nos termos da lição de Diogo de Figueiredo Moreira Neto, a boa administração é um dever constitucional de quem quer que se proponha a gerir, de livre e espontânea vontade, interesses públicos. Por isso mesmo, em contrapartida, a boa administração corresponde a um direito cívico do administrado – implícito na cidadania. (MOREIRA NETO, Diogo de Figueiredo. Curso de direito administrativo: parte introdutória, parte geral e parte especial, 15ª ed. Rio de Janeiro: Forense, 2009, p. 119).</w:t>
      </w:r>
    </w:p>
    <w:p w:rsidR="00000000" w:rsidDel="00000000" w:rsidP="00000000" w:rsidRDefault="00000000" w:rsidRPr="00000000" w14:paraId="00000016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que, nos termos da doutrina de Juarez Freitas, o direito à boa administração pública, trata-se do direito fundamental à administração pública eficiente e eficaz, proporcional cumpridora de seus deveres, com transparência, motivação, imparcialidade e respeito à moralidade, à participação social e à plena responsabilidade por suas condutas omissivas e comissivas. A tal direito corresponde o dever de a administração pública observar, nas relações administrativas, a cogência da totalidade dos princípios constitucionais que a regem. (Discricionariedade Administrativa e o direito fundamental à boa administração pública. 2ª Ed. São Paulo: Malheiros, 2009, p. 22).</w:t>
      </w:r>
    </w:p>
    <w:p w:rsidR="00000000" w:rsidDel="00000000" w:rsidP="00000000" w:rsidRDefault="00000000" w:rsidRPr="00000000" w14:paraId="00000017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Considerando que discricionariedade é a margem de "liberdade" que remanesce ao administrador para cumprir o dever de adotar a solução mais adequada à satisfação da finalidade legal, dando concretude ao princípio da eficiência;</w:t>
      </w:r>
    </w:p>
    <w:p w:rsidR="00000000" w:rsidDel="00000000" w:rsidP="00000000" w:rsidRDefault="00000000" w:rsidRPr="00000000" w14:paraId="00000018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Considerando que a Lei de Improbidade Administrativa prevê:</w:t>
      </w:r>
    </w:p>
    <w:bookmarkStart w:colFirst="0" w:colLast="0" w:name="30j0zll" w:id="1"/>
    <w:bookmarkEnd w:id="1"/>
    <w:p w:rsidR="00000000" w:rsidDel="00000000" w:rsidP="00000000" w:rsidRDefault="00000000" w:rsidRPr="00000000" w14:paraId="00000019">
      <w:pPr>
        <w:spacing w:after="200" w:before="2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 Art. 11. Constitui ato de improbidade administrativa que atenta contra os princípios da administração pública qualquer ação ou omissão que viole os deveres de honestidade, imparcialidade, legalidade, e lealdade às instituições, e notadamente:</w:t>
      </w:r>
    </w:p>
    <w:bookmarkStart w:colFirst="0" w:colLast="0" w:name="1fob9te" w:id="2"/>
    <w:bookmarkEnd w:id="2"/>
    <w:p w:rsidR="00000000" w:rsidDel="00000000" w:rsidP="00000000" w:rsidRDefault="00000000" w:rsidRPr="00000000" w14:paraId="0000001A">
      <w:pPr>
        <w:spacing w:after="200" w:before="2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- praticar ato visando fim proibido em lei ou regulamento ou diverso daquele previsto, na regra de competência;</w:t>
      </w:r>
    </w:p>
    <w:bookmarkStart w:colFirst="0" w:colLast="0" w:name="3znysh7" w:id="3"/>
    <w:bookmarkEnd w:id="3"/>
    <w:p w:rsidR="00000000" w:rsidDel="00000000" w:rsidP="00000000" w:rsidRDefault="00000000" w:rsidRPr="00000000" w14:paraId="0000001B">
      <w:pPr>
        <w:spacing w:after="200" w:before="2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II - retardar ou deixar de praticar, indevidamente, ato de ofício;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...)</w:t>
      </w:r>
    </w:p>
    <w:p w:rsidR="00000000" w:rsidDel="00000000" w:rsidP="00000000" w:rsidRDefault="00000000" w:rsidRPr="00000000" w14:paraId="0000001C">
      <w:pPr>
        <w:spacing w:after="200" w:before="2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Art. 12.  Independentemente das sanções penais, civis e administrativas previstas na legislação específica, está o responsável pelo ato de improbidade sujeito às seguintes cominações, que podem ser aplicadas isolada ou cumulativamente, de acordo com a gravidade do fato:       </w:t>
      </w:r>
    </w:p>
    <w:p w:rsidR="00000000" w:rsidDel="00000000" w:rsidP="00000000" w:rsidRDefault="00000000" w:rsidRPr="00000000" w14:paraId="0000001D">
      <w:pPr>
        <w:spacing w:after="200" w:before="2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  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 III - na hipótese do art. 11, ressarcimento integral do dano, se houver, perda da função pública, suspensão dos direitos políticos de três a cinco anos, pagamento de multa civil de até cem vezes o valor da remuneração percebida pelo agente e proibição de contratar com o Poder Público ou receber benefícios ou incentivos fiscais ou creditícios, direta ou indiretamente, ainda que por intermédio de pessoa jurídica da qual seja sócio majoritário, pelo prazo de três anos.</w:t>
      </w:r>
    </w:p>
    <w:p w:rsidR="00000000" w:rsidDel="00000000" w:rsidP="00000000" w:rsidRDefault="00000000" w:rsidRPr="00000000" w14:paraId="0000001E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que o princípio da indisponibilidade do interesse público, pedra angular do regime jurídico de Direito Administrativo, impinge ao gestor público obrigações que garantam uma atuação afivelada à realização dos interesses da sociedade, pois estes não estão à livre disposição do administrador.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que, em decorrência do Decreto n. 10.024/2019, 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adoção do pregão eletrônico também se tornou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obrigatória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aos Municípios, quando da utilização de verbas federais por meio de transferências voluntárias, convênios e contratos de repasse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Instrução Normativa da União n° 206, de 18 de outubro de 2019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(disponível em: </w:t>
      </w:r>
      <w:hyperlink r:id="rId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http://www.in.qov.br/web/dou/-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estabeleceu os seguintes prazos para sua utilização: I- a partir da data de entrada em vigor desta Instrução Normativa, para os Estados. Distrito Federal e entidades da respectiva administração indireta; II - a partir de 3 de fevereiro de 2020, para os Municípios acima de 50.000 (cinquenta mil) habitantes e entidades da respectiva administração indireta; III - a partir de 6 de abril de 2020, para os Municípios entre 15.000 (quinze mil) e 50.000 (cinquenta mil) habitantes e entidades da respectiva administração indireta; e IV - a partir de 10 de junho de 2020, para os Municípios com menos de 15.000 (quinze mil) habitantes e entidades da respectiva administração indireta;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todos os prazos já foram ultrapassados e que há necessidade urgente da adoção do pregão eletrônico pelos municípios, em razão das múltiplas justificativas jurídicas e principiológicas, já expostas, em prol do erário público, bem como por haver norma cogente determinando a adoção deste tipo de licitação nos casos previstos no Decreto n. 10.024/2019;</w:t>
      </w:r>
    </w:p>
    <w:p w:rsidR="00000000" w:rsidDel="00000000" w:rsidP="00000000" w:rsidRDefault="00000000" w:rsidRPr="00000000" w14:paraId="00000021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Considerando,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finalmente, que a Recomendação Ministerial é instrumento de advertência que serve para fixar o elemento subjetivo do destinatário e evitar, se possível, o acionamento do Poder Judiciário para fins de correção de atos administrativos.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Município de ___________ - MA, na pessoa de seu Prefeito Municipal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Presidente de Câmara Municipal____________, bem como a quem venha lhe suceder no cargo: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promova, preferencialmente, a realização da modalidade  pregão eletrônico nas contratações governamentais de bens e serviços comuns, inclusive de engenharia, independente da fonte de recursos envolvida, salvo se ficar cabalmente comprovada a incapacidade técnica ou a desvantagem para a administração pública na realização da forma eletrônica (art. 1º,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4º do Decreto n. 10.024/2019);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sejam adotadas medidas administrativas necessárias para  a utilização da modalidade pregão tão somente em sua forma eletrônica, no prazo máximo de 30 (trinta dias), em razão da superveniência dos prazos previstos na Instrução Normativa da União n° 206, de 18 de outubro de 2019, a qual determina que os órgãos e entidades da administração pública estadual ou municipal, direta ou indireta, utilizem obrigatoriamente a modalidade de pregão, na forma eletrônica, ou a dispensa eletrônica, quando executarem recursos da União em casos de aquisição de bens e serviços comuns, inclusive de engenharia;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Proceda à indicação do ato normativo que regulamenta o pregão eletrônico no âmbito municipal e, em ainda não existindo tal norma, seja providenciada a sua elaboração e publicação de decreto disciplinando a matéria, no prazo máximo de 40 (quarenta) dias úteis;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0.393700787401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Proceda à indicação, no prazo de 30 (trinta) dias úteis, de qual sistema eletrônico será utilizado pelo ente municipal para realização de pregões, bem como a indicação do prazo estimado de conclusão de todos os trâmites necessários para colocação da ferramenta eletrônica escolhida em condições plenas de utilização (contratação do software, capacitação, etc.);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Fixa 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prazo de quinze dias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para que preste a esta Promotoria de Justiça informações sobre o acatamento da presente recomendação ou da apresentação de razões escritas para não acatá-la,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sendo a resposta requisitada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nos termos da Lei 8.625/93 (art.  27, parágrafo único, inciso IV).</w:t>
      </w:r>
    </w:p>
    <w:p w:rsidR="00000000" w:rsidDel="00000000" w:rsidP="00000000" w:rsidRDefault="00000000" w:rsidRPr="00000000" w14:paraId="00000028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Remeta-se, para conhecimento, à Câmara Municipal de ______________, com requerimento de leitura em plenário.</w:t>
      </w:r>
    </w:p>
    <w:p w:rsidR="00000000" w:rsidDel="00000000" w:rsidP="00000000" w:rsidRDefault="00000000" w:rsidRPr="00000000" w14:paraId="00000029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Remeta-se, para fins de conhecimento, ao Procurador-Geral do Ministério Público de Contas.</w:t>
      </w:r>
    </w:p>
    <w:p w:rsidR="00000000" w:rsidDel="00000000" w:rsidP="00000000" w:rsidRDefault="00000000" w:rsidRPr="00000000" w14:paraId="0000002A">
      <w:pPr>
        <w:spacing w:after="200" w:before="2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Afixe-se no quadro de avisos da sede do Ministério Público na Comarca para fins de publicidade.</w:t>
      </w:r>
    </w:p>
    <w:p w:rsidR="00000000" w:rsidDel="00000000" w:rsidP="00000000" w:rsidRDefault="00000000" w:rsidRPr="00000000" w14:paraId="0000002B">
      <w:pPr>
        <w:spacing w:after="200" w:before="20" w:line="276" w:lineRule="auto"/>
        <w:ind w:firstLine="850.3937007874017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Comarca, ___ de _________ de 2020.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134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" w:line="254" w:lineRule="auto"/>
      <w:ind w:left="851" w:right="1197" w:firstLine="0.9999999999999432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2020: O Ministério Público no fortalecimento do controle social</w:t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" w:line="254" w:lineRule="auto"/>
      <w:ind w:left="0" w:right="1197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Rua Oswaldo Cruz, n.º 1396, Centro, CEP 65.020-910, SAO LUIS-MA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87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3535680</wp:posOffset>
          </wp:positionH>
          <wp:positionV relativeFrom="page">
            <wp:posOffset>720725</wp:posOffset>
          </wp:positionV>
          <wp:extent cx="490855" cy="49085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855" cy="490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160" w:before="13" w:line="246.99999999999994" w:lineRule="auto"/>
      <w:ind w:left="3067" w:right="3062" w:hanging="5"/>
      <w:jc w:val="center"/>
      <w:rPr>
        <w:b w:val="0"/>
        <w:sz w:val="17"/>
        <w:szCs w:val="17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ESTADO DO MARANHÃO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PÚBLICO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PROCURADORIA GERAL DE JUSTIÇA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APOIO OPERACIONAL DE DEFESA DO PATRIMÔNIO PÚBLICO E DA PROBIDADE ADMINISTRATIVA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958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n.qov.br/web/dou/-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