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PORTARIA Nº xx/2020 – PJ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40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402" w:firstLine="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OBJETO: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purar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possíveis irregularidades na utilização reiterada e injustificada da modalidade presencial de pregão, pelo Município..., sem que tenha havido demonstração da inviabilidade da utilização da forma eletrônica, obrigatória para a contração de bens ou serviços comuns, salvo se ficar cabalmente comprovada a incapacidade técnica ou a desvantagem para a administração pública na sua realização.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28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PÚBLICO ESTADUAL,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sua Promotora de Justiça firmatária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 da XXª Promotoria de Justiça Especializada na Defesa do Patrimônio Público e da Probidade Administrativa, no uso das atribuições que lhe são conferidas pelo art. 129, III, da Constituição Federal, art. 8º, §1º da Lei Federal nº 7.347/85, art. 25, IV, ‘a’ da Lei Federal nº 8.625/93 e art. 26, V, ‘a’ da Lei Complementar Estadual nº 013/91, 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28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o Ministério Público é instituição permanente, essencial à função jurisdicional do Estado, incumbindo-lhe a defesa da ordem jurídica, do regime democrático e dos interesses sociais e individuais indisponíveis (art. 127,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caput,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CF);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28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são funções institucionais do Ministério Público, dentre outras, zelar pelo efetivo respeito dos Poderes Públicos e dos serviços de relevância pública aos direitos assegurados na Constituição Federal, promovendo as medidas necessárias a sua garantia e promover o Inquérito Civil e a Ação Civil Pública, para a proteção do patrimônio público e social, do meio ambiente e de outros interesses difusos e coletivos (art. 129, II e III, CF);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Lei n. 10.520/2002 institui, no âmbito da União, Estados, Distrito Federal e Municípios, nos termos do art. 37, inciso XXI, da Constituição Federal, modalidade de licitação denominada pregão, para aquisição de bens e serviços comuns, e dá outras providências, estabelecendo no art.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2º., § 1º. q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 poderá ser realizado o pregão por meio da utilização de recursos de tecnologia da informação, nos termos de regulamentação específica.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before="20" w:lineRule="auto"/>
        <w:ind w:firstLine="1701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before="20" w:lineRule="auto"/>
        <w:ind w:firstLine="1418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que 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Decreto nº 10.024, de 20 de setembro de 2019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regulamenta a licitação, na modalidade pregão, na forma eletrônica, para a aquisição de bens e a contratação de serviços comuns,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incluídos os serviços comuns de engenharia, e dispõe sobre o uso da dispensa eletrônica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no âmbito da administração pública federal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vertAlign w:val="baseline"/>
          <w:rtl w:val="0"/>
        </w:rPr>
        <w:t xml:space="preserve">direta, autarquias, fundações e fundos especiais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estabelecendo essa modalidade de licitação como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obrigatória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 não mais preferencial, como dispunha o Decreto 5.450/2005. </w:t>
      </w:r>
    </w:p>
    <w:p w:rsidR="00000000" w:rsidDel="00000000" w:rsidP="00000000" w:rsidRDefault="00000000" w:rsidRPr="00000000" w14:paraId="00000012">
      <w:pPr>
        <w:spacing w:after="20" w:before="20" w:lineRule="auto"/>
        <w:ind w:firstLine="1418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8" w:before="0" w:line="276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para a aquisição de bens e a contratação de serviços comuns pelos entes federativos, com a utilização de recursos da União decorrentes de transferências voluntárias, tais como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convênios e contratos de repasse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a utilização da modalidade de pregão, na forma eletrônica, ou da dispensa eletrônica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será obrigatória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exceto nos casos em que a lei ou a regulamentação específica que dispuser sobre a modalidade de transferência discipline de forma diversa as contratações com os recursos do repasse.</w:t>
      </w:r>
    </w:p>
    <w:p w:rsidR="00000000" w:rsidDel="00000000" w:rsidP="00000000" w:rsidRDefault="00000000" w:rsidRPr="00000000" w14:paraId="00000014">
      <w:pPr>
        <w:spacing w:after="20" w:before="20" w:lineRule="auto"/>
        <w:ind w:firstLine="1701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que, apesar dessa obrigatoriedade se estender apenas aos órgãos da administração pública federal, e nos casos de recursos de transferência voluntária aos entes públicos,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recomenda-se, em larga escala, a utilização do pregão eletrônico, face a economia gerada, simplificação de procedimentos burocráticos e transparência na atuação da administração pública;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3" w:before="23" w:line="276" w:lineRule="auto"/>
        <w:ind w:firstLine="1701"/>
        <w:jc w:val="both"/>
        <w:rPr>
          <w:rFonts w:ascii="Arial" w:cs="Arial" w:eastAsia="Arial" w:hAnsi="Arial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 que, em consulta ao SACOP, ao SICONV e a outras fontes abertas de informações, não se identificou a realização, por esta municipalidade, de pregão na modalidade eletrônica, embora já esteja alcançado pelas disposições do Decreto 10.024/2020;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3" w:before="23" w:lineRule="auto"/>
        <w:ind w:firstLine="1701"/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3" w:before="23" w:lineRule="auto"/>
        <w:ind w:firstLine="1701"/>
        <w:jc w:val="both"/>
        <w:rPr>
          <w:rFonts w:ascii="Arial" w:cs="Arial" w:eastAsia="Arial" w:hAnsi="Arial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 que não se concebe, por absoluta incoerência e falta de razoabilidade, que o ente público, uma vez que passe a utilizar o pregão eletrônico para as contratações com recursos federais, por determinação do Decreto 10.024/2019, deixe de fazer uso dessa modalidade, sem qualquer justificativa plausível, quando se tratar de recursos próprios ou de outras fontes, utilizando-se da suposta conveniência e oportunidade, quando não se tratam de situações envolvendo discricionariedade administrativa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before="20" w:lineRule="auto"/>
        <w:ind w:firstLine="1701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before="20" w:lineRule="auto"/>
        <w:ind w:firstLine="170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ser cediço que a adoção do Pregão Eletrônico acarreta maior celeridade, racionalização, competitividade, transparência, impessoalidade e economia para a administração pública, prevenindo a ocorrência de atos de improbidade administrativa e crimes contra os cofres públicos;</w:t>
      </w:r>
    </w:p>
    <w:p w:rsidR="00000000" w:rsidDel="00000000" w:rsidP="00000000" w:rsidRDefault="00000000" w:rsidRPr="00000000" w14:paraId="0000001A">
      <w:pPr>
        <w:spacing w:after="20" w:before="20" w:lineRule="auto"/>
        <w:ind w:firstLine="1701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before="20" w:lineRule="auto"/>
        <w:ind w:firstLine="170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que, conforme já decidido pelo TCU, o Pregão Eletrônico propicia maior competitividade entre potenciais fornecedores, favorecendo a economia na aquisição dos bens, com melhor possibilidade de alcance de propostas mais vantajosas, pelas características dessa disputa (Processo 002.497/2014-0);</w:t>
      </w:r>
    </w:p>
    <w:p w:rsidR="00000000" w:rsidDel="00000000" w:rsidP="00000000" w:rsidRDefault="00000000" w:rsidRPr="00000000" w14:paraId="0000001C">
      <w:pPr>
        <w:spacing w:after="20" w:before="20" w:lineRule="auto"/>
        <w:ind w:firstLine="1701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before="20" w:lineRule="auto"/>
        <w:ind w:firstLine="1701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 no Acórdão nº 1.099/2010, do Plenário do TCU,  o eminente  Ministro Relator considera em seu voto que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“a utilização do pregão na forma presencial, sem que tenha havido demonstração da inviabilidade de utilização da forma eletrônica, não se conforma com o preceito contido no art. 4º, § 1º, do Decreto 5.450/2005”.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before="20" w:lineRule="auto"/>
        <w:ind w:firstLine="170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7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que, no curso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Administrativo nº XX/2020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(que trata da implantação do pregão eletrônico), instaurado nesta Promotoria de Justiça, em XX/XX/2020, surgiram fatos que demandam apuração voltada à tutela de interesses difusos, bem como responsabilização por improbidade administrativa, em decorrência da realização ilegal da modalidade presencial do pregão em diversas contratações de bens e serviços comuns;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28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right" w:pos="8222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right" w:pos="8222"/>
        </w:tabs>
        <w:spacing w:after="0" w:before="0" w:line="240" w:lineRule="auto"/>
        <w:ind w:left="0" w:right="0" w:firstLine="28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right" w:pos="8222"/>
        </w:tabs>
        <w:spacing w:after="0" w:before="0" w:line="240" w:lineRule="auto"/>
        <w:ind w:left="0" w:right="0" w:firstLine="14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INSTAURAR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INQUÉRITO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promovendo a necessária coleta de informações, depoimentos, certidões, perícias e demais diligências para posterior instauração da ação civil e/ou penal ou promoção de arquivamento, se for o caso, adotando-se as seguintes providências preliminares: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right" w:pos="8222"/>
        </w:tabs>
        <w:spacing w:after="0" w:before="0" w:line="240" w:lineRule="auto"/>
        <w:ind w:left="0" w:right="0" w:firstLine="28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14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Autuem-se os documentos objeto do Procedimento Administrativo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nº XX/2020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tendo por folha inaugural a presente Portaria, efetivando-se o devido registro formal, sob a denominação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Inquérito Civil nº XX/20XX – 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a Resolução CNMP nº 23/2007 e Ato Regulamentar Conjunto nº 05/2014 – GPGJ/CGMP;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0" w:right="0" w:firstLine="1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Remeta-se cópia desta Portaria ao Procurador-Geral de Justiça e Presidente do Conselho Superior do Ministério Público do Maranhão, para fins de conhecimento, em cumprimento ao disposto no art. 3º, VI, da Resolução nº 02/2004 – CPMP;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Publique-se esta Portaria no salão de entrada das Promotorias de Justiça _________________, promovendo-se o seu envio diretamente ao Setor de Coordenação de Documentação e Biblioteca, para publicação no Diário Oficial do Estado, mediante cópia devidamente assinada, devendo também ser remetida em meio magnético, podendo este último ser suprido pelo seu encaminhamento a um dos endereços de e-mails indicados no Ofício-Circular nº 04/2015-CSMP (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biblioteca@mpma.mp.br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biblio.pgj.ma@gmail.com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3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Afixação desta Portaria no quadro de avisos desta Promotoria Regional;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3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Arquivamento de uma via desta Portaria em pasta própria;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registro e a autuação da presente Portaria nos sistemas de informação SIMP adotado pelo Ministério Público do Estado do Maranhão, como “PROCEDIMENTO ADMINISTRATIVO DE ACOMPANHAMENTO DE POLÍTICAS PÚBLICAS”, vinculado a esta Promotoria de Justiça, com devida numeração no sistema informatizado, juntando-se os documentos já disponíveis.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0" w:right="0" w:firstLine="1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secretariar os trabalhos, 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Técnico Ministerial da Promotoria.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Luís/MA, xx de ______________ de 2020.</w:t>
      </w:r>
    </w:p>
    <w:p w:rsidR="00000000" w:rsidDel="00000000" w:rsidP="00000000" w:rsidRDefault="00000000" w:rsidRPr="00000000" w14:paraId="00000036">
      <w:pPr>
        <w:widowControl w:val="0"/>
        <w:tabs>
          <w:tab w:val="left" w:pos="2340"/>
          <w:tab w:val="left" w:pos="5945"/>
        </w:tabs>
        <w:ind w:firstLine="1417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Promotor(a) de Justiça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14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701" w:top="1134" w:left="1701" w:right="992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" w:line="254" w:lineRule="auto"/>
      <w:ind w:left="851" w:right="1197" w:firstLine="0.9999999999999432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u w:val="none"/>
        <w:shd w:fill="auto" w:val="clear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2020: O Ministério Público no fortalecimento do controle social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37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37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ESTADO DO MARANHÃO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2438400</wp:posOffset>
          </wp:positionH>
          <wp:positionV relativeFrom="paragraph">
            <wp:posOffset>-615314</wp:posOffset>
          </wp:positionV>
          <wp:extent cx="817245" cy="5143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724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MINISTÉRIO PÚBLICO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PROMOTORIA DE JUSTIÇA DE ----------------------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37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rFonts w:ascii="Tahoma" w:cs="Tahoma" w:eastAsia="Tahoma" w:hAnsi="Tahoma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biblioteca@mpma.mp.br" TargetMode="External"/><Relationship Id="rId7" Type="http://schemas.openxmlformats.org/officeDocument/2006/relationships/hyperlink" Target="mailto:biblio.pgj.ma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